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E614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E614C">
        <w:rPr>
          <w:rFonts w:ascii="Century" w:eastAsia="Calibri" w:hAnsi="Century"/>
          <w:b/>
          <w:bCs/>
          <w:sz w:val="32"/>
          <w:szCs w:val="36"/>
          <w:lang w:eastAsia="ru-RU"/>
        </w:rPr>
        <w:t>23/34-6245</w:t>
      </w:r>
    </w:p>
    <w:p w:rsidR="00CC1632" w:rsidRPr="00C36803" w:rsidRDefault="006E614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E614C">
        <w:rPr>
          <w:rFonts w:ascii="Century" w:hAnsi="Century"/>
          <w:b/>
          <w:sz w:val="24"/>
          <w:szCs w:val="24"/>
        </w:rPr>
        <w:t>Квятковському Юрію Володимировичу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E614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E614C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E614C">
        <w:rPr>
          <w:rFonts w:ascii="Century" w:hAnsi="Century"/>
          <w:sz w:val="24"/>
          <w:szCs w:val="24"/>
        </w:rPr>
        <w:t>Квятковському Юрію Володимировичу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E614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E614C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E614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E614C">
        <w:rPr>
          <w:rFonts w:ascii="Century" w:hAnsi="Century"/>
          <w:bCs/>
          <w:sz w:val="24"/>
          <w:szCs w:val="24"/>
        </w:rPr>
        <w:t>Квятковському Юрію Володимировичу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E614C">
        <w:rPr>
          <w:rFonts w:ascii="Century" w:hAnsi="Century"/>
          <w:bCs/>
          <w:sz w:val="24"/>
          <w:szCs w:val="24"/>
        </w:rPr>
        <w:t>0,0931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E614C">
        <w:rPr>
          <w:rFonts w:ascii="Century" w:hAnsi="Century"/>
          <w:bCs/>
          <w:sz w:val="24"/>
          <w:szCs w:val="24"/>
        </w:rPr>
        <w:t>4620984900:24:000:0092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E614C">
        <w:rPr>
          <w:rFonts w:ascii="Century" w:hAnsi="Century"/>
          <w:bCs/>
          <w:sz w:val="24"/>
          <w:szCs w:val="24"/>
        </w:rPr>
        <w:t>0,7552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E614C">
        <w:rPr>
          <w:rFonts w:ascii="Century" w:hAnsi="Century"/>
          <w:bCs/>
          <w:sz w:val="24"/>
          <w:szCs w:val="24"/>
        </w:rPr>
        <w:t>4620984900:30:007:0008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E61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E614C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E614C">
        <w:rPr>
          <w:rFonts w:ascii="Century" w:hAnsi="Century"/>
          <w:bCs/>
          <w:sz w:val="24"/>
          <w:szCs w:val="24"/>
        </w:rPr>
        <w:t>Квятковському Юрію Володимировичу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E614C">
        <w:rPr>
          <w:rFonts w:ascii="Century" w:hAnsi="Century"/>
          <w:bCs/>
          <w:sz w:val="24"/>
          <w:szCs w:val="24"/>
        </w:rPr>
        <w:t>0,0931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E614C">
        <w:rPr>
          <w:rFonts w:ascii="Century" w:hAnsi="Century"/>
          <w:bCs/>
          <w:sz w:val="24"/>
          <w:szCs w:val="24"/>
        </w:rPr>
        <w:t>4620984900:24:000:0092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E614C">
        <w:rPr>
          <w:rFonts w:ascii="Century" w:hAnsi="Century"/>
          <w:bCs/>
          <w:sz w:val="24"/>
          <w:szCs w:val="24"/>
        </w:rPr>
        <w:t>0,7552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E614C">
        <w:rPr>
          <w:rFonts w:ascii="Century" w:hAnsi="Century"/>
          <w:bCs/>
          <w:sz w:val="24"/>
          <w:szCs w:val="24"/>
        </w:rPr>
        <w:t>4620984900:30:007:0008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E61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E614C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E614C">
        <w:rPr>
          <w:rFonts w:ascii="Century" w:hAnsi="Century"/>
          <w:bCs/>
          <w:sz w:val="24"/>
          <w:szCs w:val="24"/>
        </w:rPr>
        <w:t>Квятковському Юрію Володимировичу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14C" w:rsidRDefault="006E614C" w:rsidP="00381483">
      <w:pPr>
        <w:spacing w:after="0" w:line="240" w:lineRule="auto"/>
      </w:pPr>
      <w:r>
        <w:separator/>
      </w:r>
    </w:p>
  </w:endnote>
  <w:endnote w:type="continuationSeparator" w:id="0">
    <w:p w:rsidR="006E614C" w:rsidRDefault="006E614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14C" w:rsidRDefault="006E614C" w:rsidP="00381483">
      <w:pPr>
        <w:spacing w:after="0" w:line="240" w:lineRule="auto"/>
      </w:pPr>
      <w:r>
        <w:separator/>
      </w:r>
    </w:p>
  </w:footnote>
  <w:footnote w:type="continuationSeparator" w:id="0">
    <w:p w:rsidR="006E614C" w:rsidRDefault="006E614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E614C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